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73920">
      <w:pPr>
        <w:jc w:val="center"/>
        <w:rPr>
          <w:b/>
          <w:color w:val="000000"/>
          <w:kern w:val="0"/>
          <w:sz w:val="24"/>
        </w:rPr>
      </w:pPr>
      <w:bookmarkStart w:id="0" w:name="_GoBack"/>
      <w:r>
        <w:rPr>
          <w:rFonts w:hint="eastAsia"/>
          <w:b/>
          <w:color w:val="000000"/>
          <w:kern w:val="0"/>
          <w:sz w:val="24"/>
          <w:lang w:eastAsia="zh-CN"/>
        </w:rPr>
        <w:t>宜丰县京宜新能源有限公司京能国际宜丰县石市镇石涌村150MWp渔光互补光伏发电项目及京能石市镇石涌村光伏发电一期项目</w:t>
      </w:r>
      <w:r>
        <w:rPr>
          <w:rFonts w:hint="eastAsia"/>
          <w:b/>
          <w:color w:val="000000"/>
          <w:kern w:val="0"/>
          <w:sz w:val="24"/>
        </w:rPr>
        <w:t>职业病危害预评价报告公示</w:t>
      </w:r>
    </w:p>
    <w:bookmarkEnd w:id="0"/>
    <w:tbl>
      <w:tblPr>
        <w:tblStyle w:val="6"/>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80"/>
        <w:gridCol w:w="523"/>
        <w:gridCol w:w="2357"/>
        <w:gridCol w:w="388"/>
        <w:gridCol w:w="872"/>
        <w:gridCol w:w="133"/>
        <w:gridCol w:w="947"/>
      </w:tblGrid>
      <w:tr w14:paraId="4740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40" w:type="dxa"/>
            <w:tcBorders>
              <w:top w:val="single" w:color="auto" w:sz="4" w:space="0"/>
              <w:left w:val="single" w:color="auto" w:sz="4" w:space="0"/>
              <w:bottom w:val="single" w:color="auto" w:sz="4" w:space="0"/>
              <w:right w:val="single" w:color="auto" w:sz="4" w:space="0"/>
            </w:tcBorders>
            <w:vAlign w:val="center"/>
          </w:tcPr>
          <w:p w14:paraId="15D44014">
            <w:pPr>
              <w:jc w:val="center"/>
              <w:rPr>
                <w:b/>
                <w:color w:val="000000"/>
                <w:kern w:val="0"/>
                <w:sz w:val="24"/>
              </w:rPr>
            </w:pPr>
            <w:r>
              <w:rPr>
                <w:rFonts w:hint="eastAsia"/>
                <w:b/>
                <w:color w:val="000000"/>
                <w:kern w:val="0"/>
                <w:sz w:val="24"/>
              </w:rPr>
              <w:t>项目名称</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21741EB7">
            <w:pPr>
              <w:jc w:val="center"/>
              <w:rPr>
                <w:rFonts w:ascii="宋体" w:hAnsi="宋体"/>
                <w:sz w:val="24"/>
              </w:rPr>
            </w:pPr>
            <w:r>
              <w:rPr>
                <w:rFonts w:hint="eastAsia" w:ascii="宋体" w:hAnsi="宋体"/>
                <w:sz w:val="24"/>
                <w:lang w:eastAsia="zh-CN"/>
              </w:rPr>
              <w:t>宜丰县京宜新能源有限公司京能国际宜丰县石市镇石涌村150MWp渔光互补光伏发电项目及京能石市镇石涌村光伏发电一期项目</w:t>
            </w:r>
            <w:r>
              <w:rPr>
                <w:rFonts w:hint="eastAsia" w:ascii="宋体" w:hAnsi="宋体"/>
                <w:sz w:val="24"/>
              </w:rPr>
              <w:t>职业病危害预评价报告</w:t>
            </w:r>
          </w:p>
        </w:tc>
      </w:tr>
      <w:tr w14:paraId="739C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tcBorders>
              <w:top w:val="single" w:color="auto" w:sz="4" w:space="0"/>
              <w:left w:val="single" w:color="auto" w:sz="4" w:space="0"/>
              <w:bottom w:val="single" w:color="auto" w:sz="4" w:space="0"/>
              <w:right w:val="single" w:color="auto" w:sz="4" w:space="0"/>
            </w:tcBorders>
            <w:vAlign w:val="center"/>
          </w:tcPr>
          <w:p w14:paraId="749A4209">
            <w:pPr>
              <w:jc w:val="center"/>
              <w:rPr>
                <w:b/>
                <w:color w:val="000000"/>
                <w:kern w:val="0"/>
                <w:sz w:val="24"/>
              </w:rPr>
            </w:pPr>
            <w:r>
              <w:rPr>
                <w:rFonts w:hint="eastAsia"/>
                <w:b/>
                <w:color w:val="000000"/>
                <w:kern w:val="0"/>
                <w:sz w:val="24"/>
              </w:rPr>
              <w:t>报告书编号</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4D28A036">
            <w:pPr>
              <w:jc w:val="left"/>
              <w:rPr>
                <w:rFonts w:hint="eastAsia" w:ascii="宋体" w:hAnsi="宋体" w:eastAsia="宋体"/>
                <w:sz w:val="24"/>
                <w:lang w:eastAsia="zh-CN"/>
              </w:rPr>
            </w:pPr>
            <w:r>
              <w:rPr>
                <w:rFonts w:hint="eastAsia" w:ascii="宋体" w:hAnsi="宋体"/>
                <w:sz w:val="24"/>
                <w:lang w:eastAsia="zh-CN"/>
              </w:rPr>
              <w:t>ZPYKJ24-028</w:t>
            </w:r>
          </w:p>
        </w:tc>
      </w:tr>
      <w:tr w14:paraId="1679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01CD8FD4">
            <w:pPr>
              <w:jc w:val="center"/>
              <w:rPr>
                <w:b/>
                <w:color w:val="000000"/>
                <w:kern w:val="0"/>
                <w:sz w:val="24"/>
              </w:rPr>
            </w:pPr>
            <w:r>
              <w:rPr>
                <w:rFonts w:hint="eastAsia"/>
                <w:b/>
                <w:color w:val="000000"/>
                <w:kern w:val="0"/>
                <w:sz w:val="24"/>
              </w:rPr>
              <w:t>建设单位</w:t>
            </w:r>
          </w:p>
        </w:tc>
        <w:tc>
          <w:tcPr>
            <w:tcW w:w="2340" w:type="dxa"/>
            <w:tcBorders>
              <w:top w:val="single" w:color="auto" w:sz="4" w:space="0"/>
              <w:left w:val="single" w:color="auto" w:sz="4" w:space="0"/>
              <w:bottom w:val="single" w:color="auto" w:sz="4" w:space="0"/>
              <w:right w:val="single" w:color="auto" w:sz="4" w:space="0"/>
            </w:tcBorders>
            <w:vAlign w:val="center"/>
          </w:tcPr>
          <w:p w14:paraId="6699754F">
            <w:pPr>
              <w:jc w:val="left"/>
              <w:rPr>
                <w:rFonts w:hint="eastAsia" w:ascii="宋体" w:hAnsi="宋体" w:eastAsia="宋体"/>
                <w:sz w:val="24"/>
                <w:lang w:eastAsia="zh-CN"/>
              </w:rPr>
            </w:pPr>
            <w:r>
              <w:rPr>
                <w:rFonts w:hint="eastAsia" w:ascii="宋体" w:hAnsi="宋体"/>
                <w:sz w:val="24"/>
                <w:lang w:eastAsia="zh-CN"/>
              </w:rPr>
              <w:t>宜丰县京宜新能源有限公司</w:t>
            </w:r>
          </w:p>
        </w:tc>
        <w:tc>
          <w:tcPr>
            <w:tcW w:w="703" w:type="dxa"/>
            <w:gridSpan w:val="2"/>
            <w:tcBorders>
              <w:top w:val="single" w:color="auto" w:sz="4" w:space="0"/>
              <w:left w:val="single" w:color="auto" w:sz="4" w:space="0"/>
              <w:bottom w:val="single" w:color="auto" w:sz="4" w:space="0"/>
              <w:right w:val="single" w:color="auto" w:sz="4" w:space="0"/>
            </w:tcBorders>
            <w:vAlign w:val="center"/>
          </w:tcPr>
          <w:p w14:paraId="0C75A25F">
            <w:pPr>
              <w:jc w:val="left"/>
              <w:rPr>
                <w:rFonts w:ascii="宋体" w:hAnsi="宋体"/>
                <w:sz w:val="24"/>
              </w:rPr>
            </w:pPr>
            <w:r>
              <w:rPr>
                <w:rFonts w:hint="eastAsia" w:ascii="宋体" w:hAnsi="宋体"/>
                <w:sz w:val="24"/>
              </w:rPr>
              <w:t>地理位置</w:t>
            </w:r>
          </w:p>
        </w:tc>
        <w:tc>
          <w:tcPr>
            <w:tcW w:w="2745" w:type="dxa"/>
            <w:gridSpan w:val="2"/>
            <w:tcBorders>
              <w:top w:val="single" w:color="auto" w:sz="4" w:space="0"/>
              <w:left w:val="single" w:color="auto" w:sz="4" w:space="0"/>
              <w:bottom w:val="single" w:color="auto" w:sz="4" w:space="0"/>
              <w:right w:val="single" w:color="auto" w:sz="4" w:space="0"/>
            </w:tcBorders>
            <w:vAlign w:val="center"/>
          </w:tcPr>
          <w:p w14:paraId="24A15970">
            <w:pPr>
              <w:jc w:val="left"/>
              <w:rPr>
                <w:rFonts w:ascii="宋体" w:hAnsi="宋体"/>
                <w:sz w:val="24"/>
              </w:rPr>
            </w:pPr>
            <w:r>
              <w:rPr>
                <w:rFonts w:hint="eastAsia" w:ascii="宋体" w:hAnsi="宋体"/>
                <w:sz w:val="24"/>
                <w:lang w:eastAsia="zh-CN"/>
              </w:rPr>
              <w:t>江西省宜春市宜丰县石市镇</w:t>
            </w:r>
          </w:p>
        </w:tc>
        <w:tc>
          <w:tcPr>
            <w:tcW w:w="1005" w:type="dxa"/>
            <w:gridSpan w:val="2"/>
            <w:tcBorders>
              <w:top w:val="single" w:color="auto" w:sz="4" w:space="0"/>
              <w:left w:val="single" w:color="auto" w:sz="4" w:space="0"/>
              <w:bottom w:val="single" w:color="auto" w:sz="4" w:space="0"/>
              <w:right w:val="single" w:color="auto" w:sz="4" w:space="0"/>
            </w:tcBorders>
            <w:vAlign w:val="center"/>
          </w:tcPr>
          <w:p w14:paraId="1545C824">
            <w:pPr>
              <w:jc w:val="left"/>
              <w:rPr>
                <w:rFonts w:ascii="宋体" w:hAnsi="宋体"/>
                <w:sz w:val="24"/>
              </w:rPr>
            </w:pPr>
            <w:r>
              <w:rPr>
                <w:rFonts w:hint="eastAsia" w:ascii="宋体" w:hAnsi="宋体"/>
                <w:sz w:val="24"/>
              </w:rPr>
              <w:t>联系人</w:t>
            </w:r>
          </w:p>
        </w:tc>
        <w:tc>
          <w:tcPr>
            <w:tcW w:w="947" w:type="dxa"/>
            <w:tcBorders>
              <w:top w:val="single" w:color="auto" w:sz="4" w:space="0"/>
              <w:left w:val="single" w:color="auto" w:sz="4" w:space="0"/>
              <w:bottom w:val="single" w:color="auto" w:sz="4" w:space="0"/>
              <w:right w:val="single" w:color="auto" w:sz="4" w:space="0"/>
            </w:tcBorders>
            <w:vAlign w:val="center"/>
          </w:tcPr>
          <w:p w14:paraId="16DDA2D2">
            <w:pPr>
              <w:jc w:val="left"/>
              <w:rPr>
                <w:rFonts w:hint="eastAsia" w:ascii="宋体" w:hAnsi="宋体" w:eastAsia="宋体"/>
                <w:sz w:val="24"/>
                <w:lang w:eastAsia="zh-CN"/>
              </w:rPr>
            </w:pPr>
            <w:r>
              <w:rPr>
                <w:rFonts w:hint="eastAsia" w:ascii="宋体" w:hAnsi="宋体"/>
                <w:sz w:val="24"/>
                <w:lang w:eastAsia="zh-CN"/>
              </w:rPr>
              <w:t>陈锁</w:t>
            </w:r>
          </w:p>
        </w:tc>
      </w:tr>
      <w:tr w14:paraId="6FC15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440" w:type="dxa"/>
            <w:tcBorders>
              <w:top w:val="single" w:color="auto" w:sz="4" w:space="0"/>
              <w:left w:val="single" w:color="auto" w:sz="4" w:space="0"/>
              <w:bottom w:val="single" w:color="auto" w:sz="4" w:space="0"/>
              <w:right w:val="single" w:color="auto" w:sz="4" w:space="0"/>
            </w:tcBorders>
            <w:vAlign w:val="center"/>
          </w:tcPr>
          <w:p w14:paraId="3138887D">
            <w:pPr>
              <w:jc w:val="center"/>
              <w:rPr>
                <w:color w:val="000000"/>
                <w:kern w:val="0"/>
                <w:sz w:val="24"/>
              </w:rPr>
            </w:pPr>
            <w:r>
              <w:rPr>
                <w:rFonts w:hint="eastAsia"/>
                <w:b/>
                <w:kern w:val="0"/>
                <w:sz w:val="24"/>
              </w:rPr>
              <w:t>项目简介</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3840A239">
            <w:pPr>
              <w:widowControl/>
              <w:tabs>
                <w:tab w:val="left" w:pos="0"/>
              </w:tabs>
              <w:adjustRightInd w:val="0"/>
              <w:snapToGrid w:val="0"/>
              <w:spacing w:line="490" w:lineRule="exact"/>
              <w:ind w:firstLine="480" w:firstLineChars="200"/>
              <w:rPr>
                <w:rFonts w:hint="eastAsia" w:ascii="宋体" w:hAnsi="宋体"/>
                <w:sz w:val="24"/>
                <w:lang w:eastAsia="zh-CN"/>
              </w:rPr>
            </w:pPr>
            <w:r>
              <w:rPr>
                <w:rFonts w:hint="eastAsia" w:ascii="宋体" w:hAnsi="宋体"/>
                <w:sz w:val="24"/>
                <w:lang w:eastAsia="zh-CN"/>
              </w:rPr>
              <w:t>宜丰县京宜新能源有限公司成立于2023年02月06日。注册地址江江西省宜春市宜丰县工业园工樟路5号，公司类型为有限责任公司，法定代表人为张大勇。经营范围：发电业务、输电业务、供（配）电业务，电气安装服务，输电、供电、受电电力设施的安装、维修和试验。</w:t>
            </w:r>
          </w:p>
          <w:p w14:paraId="7F9CFF1B">
            <w:pPr>
              <w:widowControl/>
              <w:tabs>
                <w:tab w:val="left" w:pos="0"/>
              </w:tabs>
              <w:adjustRightInd w:val="0"/>
              <w:snapToGrid w:val="0"/>
              <w:spacing w:line="490" w:lineRule="exact"/>
              <w:ind w:firstLine="480" w:firstLineChars="200"/>
              <w:rPr>
                <w:rFonts w:hint="eastAsia" w:ascii="宋体" w:hAnsi="宋体"/>
                <w:sz w:val="24"/>
                <w:lang w:eastAsia="zh-CN"/>
              </w:rPr>
            </w:pPr>
            <w:r>
              <w:rPr>
                <w:rFonts w:hint="eastAsia" w:ascii="宋体" w:hAnsi="宋体"/>
                <w:sz w:val="24"/>
                <w:lang w:eastAsia="zh-CN"/>
              </w:rPr>
              <w:t>宜丰县京宜新能源有限公司京能国际宜丰县石市镇石涌村150MWp渔光互补光伏发电项目及京能石市镇石涌村光伏发电一期项目建设地点位于江西省宜春市宜丰县石市镇。</w:t>
            </w:r>
          </w:p>
          <w:p w14:paraId="3302369E">
            <w:pPr>
              <w:widowControl/>
              <w:tabs>
                <w:tab w:val="left" w:pos="0"/>
              </w:tabs>
              <w:adjustRightInd w:val="0"/>
              <w:snapToGrid w:val="0"/>
              <w:spacing w:line="490" w:lineRule="exact"/>
              <w:ind w:firstLine="480" w:firstLineChars="200"/>
              <w:rPr>
                <w:rFonts w:hint="eastAsia" w:ascii="宋体" w:hAnsi="宋体"/>
                <w:sz w:val="24"/>
                <w:lang w:eastAsia="zh-CN"/>
              </w:rPr>
            </w:pPr>
            <w:r>
              <w:rPr>
                <w:rFonts w:hint="eastAsia" w:ascii="宋体" w:hAnsi="宋体"/>
                <w:sz w:val="24"/>
                <w:lang w:eastAsia="zh-CN"/>
              </w:rPr>
              <w:t>京能国际宜丰县石市镇石涌村150MWp渔光互补光伏发电项目于2023年9月7日在宜丰县发展和改革委员会进行备案，项目统一代码为2302-360924-04-01-952675。项目备案内容为项目规划光伏电站容量50MW，接入“京能石市镇石涌村光伏发电一期项目”升压变电站。</w:t>
            </w:r>
          </w:p>
          <w:p w14:paraId="705648AE">
            <w:pPr>
              <w:widowControl/>
              <w:tabs>
                <w:tab w:val="left" w:pos="0"/>
              </w:tabs>
              <w:adjustRightInd w:val="0"/>
              <w:snapToGrid w:val="0"/>
              <w:spacing w:line="490" w:lineRule="exact"/>
              <w:ind w:firstLine="480" w:firstLineChars="200"/>
              <w:rPr>
                <w:rFonts w:hint="eastAsia" w:ascii="宋体" w:hAnsi="宋体"/>
                <w:sz w:val="24"/>
                <w:lang w:eastAsia="zh-CN"/>
              </w:rPr>
            </w:pPr>
            <w:r>
              <w:rPr>
                <w:rFonts w:hint="eastAsia" w:ascii="宋体" w:hAnsi="宋体"/>
                <w:sz w:val="24"/>
                <w:lang w:eastAsia="zh-CN"/>
              </w:rPr>
              <w:t>京能石市镇石涌村光伏发电一期项目于2023年9月7日在宜丰县发展和改革委员会进行备案，项目统一代码为2302-360924-04-01-</w:t>
            </w:r>
          </w:p>
          <w:p w14:paraId="63F9980A">
            <w:pPr>
              <w:widowControl/>
              <w:tabs>
                <w:tab w:val="left" w:pos="0"/>
              </w:tabs>
              <w:adjustRightInd w:val="0"/>
              <w:snapToGrid w:val="0"/>
              <w:spacing w:line="490" w:lineRule="exact"/>
              <w:ind w:firstLine="480" w:firstLineChars="200"/>
              <w:rPr>
                <w:rFonts w:hint="eastAsia" w:ascii="宋体" w:hAnsi="宋体"/>
                <w:sz w:val="24"/>
                <w:lang w:eastAsia="zh-CN"/>
              </w:rPr>
            </w:pPr>
            <w:r>
              <w:rPr>
                <w:rFonts w:hint="eastAsia" w:ascii="宋体" w:hAnsi="宋体"/>
                <w:sz w:val="24"/>
                <w:lang w:eastAsia="zh-CN"/>
              </w:rPr>
              <w:t>200587。项目备案内容为项目规划光伏电站容量50MW，配套建设升压变电站一座，主变容量105MVA，外送线路约15公里，以110千伏电压等级就近接入附近主网新昌变电站（接入方案最终以国网批复的意见为准）。一期项目光伏组件占用土地（租用水面）1250亩，升压站占用建设用地约20.05亩（与“京能国际宜丰县石市镇石涌</w:t>
            </w:r>
          </w:p>
          <w:p w14:paraId="720BE00F">
            <w:pPr>
              <w:widowControl/>
              <w:tabs>
                <w:tab w:val="left" w:pos="0"/>
              </w:tabs>
              <w:adjustRightInd w:val="0"/>
              <w:snapToGrid w:val="0"/>
              <w:spacing w:line="490" w:lineRule="exact"/>
              <w:ind w:firstLine="480" w:firstLineChars="200"/>
              <w:rPr>
                <w:rFonts w:hint="eastAsia" w:ascii="宋体" w:hAnsi="宋体"/>
                <w:sz w:val="24"/>
                <w:lang w:eastAsia="zh-CN"/>
              </w:rPr>
            </w:pPr>
            <w:r>
              <w:rPr>
                <w:rFonts w:hint="eastAsia" w:ascii="宋体" w:hAnsi="宋体"/>
                <w:sz w:val="24"/>
                <w:lang w:eastAsia="zh-CN"/>
              </w:rPr>
              <w:t>村150MWp渔光互补光伏发电项目共用”）。</w:t>
            </w:r>
          </w:p>
          <w:p w14:paraId="5F205313">
            <w:pPr>
              <w:widowControl/>
              <w:tabs>
                <w:tab w:val="left" w:pos="0"/>
              </w:tabs>
              <w:adjustRightInd w:val="0"/>
              <w:snapToGrid w:val="0"/>
              <w:spacing w:line="490" w:lineRule="exact"/>
              <w:ind w:firstLine="480" w:firstLineChars="200"/>
              <w:rPr>
                <w:rFonts w:hint="eastAsia" w:ascii="宋体" w:hAnsi="宋体"/>
                <w:sz w:val="24"/>
                <w:lang w:eastAsia="zh-CN"/>
              </w:rPr>
            </w:pPr>
            <w:r>
              <w:rPr>
                <w:rFonts w:hint="eastAsia" w:ascii="宋体" w:hAnsi="宋体"/>
                <w:sz w:val="24"/>
                <w:lang w:eastAsia="zh-CN"/>
              </w:rPr>
              <w:t>后期两备案项目（京能国际宜丰县石市镇石涌村150MWp渔光互补光伏发电项目与京能石市镇石涌村光伏发电一期项目）拟采用合并运营方式。</w:t>
            </w:r>
          </w:p>
          <w:p w14:paraId="7EBE30DC">
            <w:pPr>
              <w:widowControl/>
              <w:tabs>
                <w:tab w:val="left" w:pos="0"/>
              </w:tabs>
              <w:adjustRightInd w:val="0"/>
              <w:snapToGrid w:val="0"/>
              <w:spacing w:line="490" w:lineRule="exact"/>
              <w:ind w:firstLine="480" w:firstLineChars="200"/>
              <w:rPr>
                <w:rFonts w:ascii="宋体" w:hAnsi="宋体"/>
                <w:sz w:val="24"/>
              </w:rPr>
            </w:pPr>
            <w:r>
              <w:rPr>
                <w:rFonts w:hint="eastAsia" w:ascii="宋体" w:hAnsi="宋体"/>
                <w:sz w:val="24"/>
                <w:lang w:eastAsia="zh-CN"/>
              </w:rPr>
              <w:t>宜丰县京宜新能源有限公司为预防、控制和消除职业病危害，防治职业病，保护劳动者健康及其相关权益，促进企业经济发展。依据《中华人民共和国职业病防治法》、《建设项目职业病防护设施“三同时”监督管理办法》（国家安全生产监督管理总局令第90号）等的相关规定，委托江西省矿检安全科技有限公司对其京能国际宜丰县石市镇石涌村150MWp渔光互补光伏发电项目及京能石市镇石涌村光伏发电一期项目进行职业病危害预评价工作，并编制《宜丰县京宜新能源有限公司京能国际宜丰县石市镇石涌村150MWp渔光互补光伏发电项目及京能石市镇石涌村光伏发电一期项目职业病危害预评价报告》</w:t>
            </w:r>
            <w:r>
              <w:rPr>
                <w:rFonts w:hint="eastAsia" w:ascii="宋体" w:hAnsi="宋体"/>
                <w:sz w:val="24"/>
              </w:rPr>
              <w:t>。</w:t>
            </w:r>
          </w:p>
        </w:tc>
      </w:tr>
      <w:tr w14:paraId="1F1C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440" w:type="dxa"/>
            <w:tcBorders>
              <w:top w:val="single" w:color="auto" w:sz="4" w:space="0"/>
              <w:left w:val="single" w:color="auto" w:sz="4" w:space="0"/>
              <w:bottom w:val="single" w:color="auto" w:sz="4" w:space="0"/>
              <w:right w:val="single" w:color="auto" w:sz="4" w:space="0"/>
            </w:tcBorders>
            <w:vAlign w:val="center"/>
          </w:tcPr>
          <w:p w14:paraId="1795782E">
            <w:pPr>
              <w:jc w:val="center"/>
              <w:rPr>
                <w:b/>
                <w:color w:val="000000"/>
                <w:kern w:val="0"/>
                <w:sz w:val="24"/>
              </w:rPr>
            </w:pPr>
            <w:r>
              <w:rPr>
                <w:rFonts w:hint="eastAsia"/>
                <w:b/>
                <w:kern w:val="0"/>
                <w:sz w:val="24"/>
              </w:rPr>
              <w:t>现场调查人员</w:t>
            </w:r>
          </w:p>
        </w:tc>
        <w:tc>
          <w:tcPr>
            <w:tcW w:w="2520" w:type="dxa"/>
            <w:gridSpan w:val="2"/>
            <w:tcBorders>
              <w:top w:val="single" w:color="auto" w:sz="4" w:space="0"/>
              <w:left w:val="single" w:color="auto" w:sz="4" w:space="0"/>
              <w:bottom w:val="single" w:color="auto" w:sz="4" w:space="0"/>
              <w:right w:val="single" w:color="auto" w:sz="4" w:space="0"/>
            </w:tcBorders>
            <w:vAlign w:val="center"/>
          </w:tcPr>
          <w:p w14:paraId="12455B51">
            <w:pPr>
              <w:rPr>
                <w:rFonts w:hint="eastAsia" w:ascii="宋体" w:hAnsi="宋体" w:eastAsia="宋体"/>
                <w:sz w:val="24"/>
                <w:lang w:eastAsia="zh-CN"/>
              </w:rPr>
            </w:pPr>
            <w:r>
              <w:rPr>
                <w:rFonts w:hint="eastAsia" w:ascii="宋体" w:hAnsi="宋体"/>
                <w:sz w:val="24"/>
                <w:lang w:eastAsia="zh-CN"/>
              </w:rPr>
              <w:t>杨烨、熊俊</w:t>
            </w:r>
          </w:p>
        </w:tc>
        <w:tc>
          <w:tcPr>
            <w:tcW w:w="523" w:type="dxa"/>
            <w:tcBorders>
              <w:top w:val="single" w:color="auto" w:sz="4" w:space="0"/>
              <w:left w:val="single" w:color="auto" w:sz="4" w:space="0"/>
              <w:bottom w:val="single" w:color="auto" w:sz="4" w:space="0"/>
              <w:right w:val="single" w:color="auto" w:sz="4" w:space="0"/>
            </w:tcBorders>
            <w:vAlign w:val="center"/>
          </w:tcPr>
          <w:p w14:paraId="7EBD7864">
            <w:pPr>
              <w:jc w:val="center"/>
              <w:rPr>
                <w:b/>
                <w:color w:val="000000"/>
                <w:kern w:val="0"/>
                <w:sz w:val="24"/>
              </w:rPr>
            </w:pPr>
            <w:r>
              <w:rPr>
                <w:rFonts w:hint="eastAsia"/>
                <w:b/>
                <w:color w:val="000000"/>
                <w:kern w:val="0"/>
                <w:sz w:val="24"/>
              </w:rPr>
              <w:t>时间</w:t>
            </w:r>
          </w:p>
        </w:tc>
        <w:tc>
          <w:tcPr>
            <w:tcW w:w="2357" w:type="dxa"/>
            <w:tcBorders>
              <w:top w:val="single" w:color="auto" w:sz="4" w:space="0"/>
              <w:left w:val="single" w:color="auto" w:sz="4" w:space="0"/>
              <w:bottom w:val="single" w:color="auto" w:sz="4" w:space="0"/>
              <w:right w:val="single" w:color="auto" w:sz="4" w:space="0"/>
            </w:tcBorders>
            <w:vAlign w:val="center"/>
          </w:tcPr>
          <w:p w14:paraId="2305CADF">
            <w:pPr>
              <w:rPr>
                <w:rFonts w:ascii="宋体" w:hAnsi="宋体"/>
                <w:sz w:val="24"/>
              </w:rPr>
            </w:pPr>
            <w:r>
              <w:rPr>
                <w:rFonts w:hint="eastAsia" w:ascii="宋体" w:hAnsi="宋体"/>
                <w:sz w:val="24"/>
              </w:rPr>
              <w:t>20</w:t>
            </w:r>
            <w:r>
              <w:rPr>
                <w:rFonts w:hint="eastAsia" w:ascii="宋体" w:hAnsi="宋体"/>
                <w:sz w:val="24"/>
                <w:lang w:val="en-US" w:eastAsia="zh-CN"/>
              </w:rPr>
              <w:t>24</w:t>
            </w:r>
            <w:r>
              <w:rPr>
                <w:rFonts w:hint="eastAsia" w:ascii="宋体" w:hAnsi="宋体"/>
                <w:sz w:val="24"/>
              </w:rPr>
              <w:t>年</w:t>
            </w:r>
            <w:r>
              <w:rPr>
                <w:rFonts w:hint="eastAsia" w:ascii="宋体" w:hAnsi="宋体"/>
                <w:sz w:val="24"/>
                <w:lang w:val="en-US" w:eastAsia="zh-CN"/>
              </w:rPr>
              <w:t>06</w:t>
            </w:r>
            <w:r>
              <w:rPr>
                <w:rFonts w:hint="eastAsia" w:ascii="宋体" w:hAnsi="宋体"/>
                <w:sz w:val="24"/>
              </w:rPr>
              <w:t>月</w:t>
            </w:r>
            <w:r>
              <w:rPr>
                <w:rFonts w:hint="eastAsia" w:ascii="宋体" w:hAnsi="宋体"/>
                <w:sz w:val="24"/>
                <w:lang w:val="en-US" w:eastAsia="zh-CN"/>
              </w:rPr>
              <w:t>06</w:t>
            </w:r>
            <w:r>
              <w:rPr>
                <w:rFonts w:hint="eastAsia" w:ascii="宋体" w:hAnsi="宋体"/>
                <w:sz w:val="24"/>
              </w:rPr>
              <w:t>日</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45F2848">
            <w:pPr>
              <w:jc w:val="center"/>
              <w:rPr>
                <w:b/>
                <w:color w:val="000000"/>
                <w:kern w:val="0"/>
                <w:sz w:val="24"/>
              </w:rPr>
            </w:pPr>
            <w:r>
              <w:rPr>
                <w:rFonts w:hint="eastAsia"/>
                <w:b/>
                <w:color w:val="000000"/>
                <w:kern w:val="0"/>
                <w:sz w:val="24"/>
              </w:rPr>
              <w:t>建设单位陪同人</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04EB2F29">
            <w:pPr>
              <w:rPr>
                <w:rFonts w:hint="eastAsia" w:ascii="宋体" w:hAnsi="宋体" w:eastAsia="宋体"/>
                <w:sz w:val="24"/>
                <w:lang w:eastAsia="zh-CN"/>
              </w:rPr>
            </w:pPr>
            <w:r>
              <w:rPr>
                <w:rFonts w:hint="eastAsia" w:ascii="宋体" w:hAnsi="宋体"/>
                <w:sz w:val="24"/>
                <w:lang w:eastAsia="zh-CN"/>
              </w:rPr>
              <w:t>陈锁</w:t>
            </w:r>
          </w:p>
        </w:tc>
      </w:tr>
      <w:tr w14:paraId="7ECE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40" w:type="dxa"/>
            <w:tcBorders>
              <w:top w:val="single" w:color="auto" w:sz="4" w:space="0"/>
              <w:left w:val="single" w:color="auto" w:sz="4" w:space="0"/>
              <w:bottom w:val="single" w:color="auto" w:sz="4" w:space="0"/>
              <w:right w:val="single" w:color="auto" w:sz="4" w:space="0"/>
            </w:tcBorders>
            <w:vAlign w:val="center"/>
          </w:tcPr>
          <w:p w14:paraId="5502BBC7">
            <w:pPr>
              <w:jc w:val="center"/>
              <w:rPr>
                <w:b/>
                <w:kern w:val="0"/>
                <w:sz w:val="24"/>
              </w:rPr>
            </w:pPr>
            <w:r>
              <w:rPr>
                <w:rFonts w:hint="eastAsia"/>
                <w:b/>
                <w:color w:val="333333"/>
                <w:kern w:val="0"/>
                <w:sz w:val="24"/>
              </w:rPr>
              <w:t>现场</w:t>
            </w:r>
            <w:r>
              <w:rPr>
                <w:rFonts w:hint="eastAsia"/>
                <w:b/>
                <w:kern w:val="0"/>
                <w:sz w:val="24"/>
              </w:rPr>
              <w:t>采样、检测人员</w:t>
            </w:r>
          </w:p>
        </w:tc>
        <w:tc>
          <w:tcPr>
            <w:tcW w:w="2520" w:type="dxa"/>
            <w:gridSpan w:val="2"/>
            <w:tcBorders>
              <w:top w:val="single" w:color="auto" w:sz="4" w:space="0"/>
              <w:left w:val="single" w:color="auto" w:sz="4" w:space="0"/>
              <w:bottom w:val="single" w:color="auto" w:sz="4" w:space="0"/>
              <w:right w:val="single" w:color="auto" w:sz="4" w:space="0"/>
            </w:tcBorders>
            <w:vAlign w:val="center"/>
          </w:tcPr>
          <w:p w14:paraId="2F1DFDA2">
            <w:pPr>
              <w:rPr>
                <w:rFonts w:ascii="宋体" w:hAnsi="宋体"/>
                <w:sz w:val="24"/>
              </w:rPr>
            </w:pPr>
            <w:r>
              <w:rPr>
                <w:rFonts w:hint="eastAsia" w:ascii="宋体" w:hAnsi="宋体"/>
                <w:sz w:val="24"/>
              </w:rPr>
              <w:t>/</w:t>
            </w:r>
          </w:p>
        </w:tc>
        <w:tc>
          <w:tcPr>
            <w:tcW w:w="523" w:type="dxa"/>
            <w:tcBorders>
              <w:top w:val="single" w:color="auto" w:sz="4" w:space="0"/>
              <w:left w:val="single" w:color="auto" w:sz="4" w:space="0"/>
              <w:bottom w:val="single" w:color="auto" w:sz="4" w:space="0"/>
              <w:right w:val="single" w:color="auto" w:sz="4" w:space="0"/>
            </w:tcBorders>
            <w:vAlign w:val="center"/>
          </w:tcPr>
          <w:p w14:paraId="262424E4">
            <w:pPr>
              <w:jc w:val="center"/>
              <w:rPr>
                <w:b/>
                <w:color w:val="000000"/>
                <w:kern w:val="0"/>
                <w:sz w:val="24"/>
              </w:rPr>
            </w:pPr>
            <w:r>
              <w:rPr>
                <w:rFonts w:hint="eastAsia"/>
                <w:b/>
                <w:color w:val="000000"/>
                <w:kern w:val="0"/>
                <w:sz w:val="24"/>
              </w:rPr>
              <w:t>时间</w:t>
            </w:r>
          </w:p>
        </w:tc>
        <w:tc>
          <w:tcPr>
            <w:tcW w:w="2357" w:type="dxa"/>
            <w:tcBorders>
              <w:top w:val="single" w:color="auto" w:sz="4" w:space="0"/>
              <w:left w:val="single" w:color="auto" w:sz="4" w:space="0"/>
              <w:bottom w:val="single" w:color="auto" w:sz="4" w:space="0"/>
              <w:right w:val="single" w:color="auto" w:sz="4" w:space="0"/>
            </w:tcBorders>
            <w:vAlign w:val="center"/>
          </w:tcPr>
          <w:p w14:paraId="072EDEA7">
            <w:pPr>
              <w:rPr>
                <w:rFonts w:ascii="宋体" w:hAnsi="宋体"/>
                <w:sz w:val="24"/>
              </w:rPr>
            </w:pPr>
            <w:r>
              <w:rPr>
                <w:rFonts w:hint="eastAsia" w:ascii="宋体" w:hAnsi="宋体"/>
                <w:sz w:val="24"/>
              </w:rPr>
              <w:t>/</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C1ADAC4">
            <w:pPr>
              <w:jc w:val="center"/>
              <w:rPr>
                <w:b/>
                <w:color w:val="000000"/>
                <w:kern w:val="0"/>
                <w:sz w:val="24"/>
              </w:rPr>
            </w:pPr>
            <w:r>
              <w:rPr>
                <w:rFonts w:hint="eastAsia"/>
                <w:b/>
                <w:color w:val="000000"/>
                <w:kern w:val="0"/>
                <w:sz w:val="24"/>
              </w:rPr>
              <w:t>建设单位陪同人</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2797FFD8">
            <w:pPr>
              <w:rPr>
                <w:rFonts w:ascii="宋体" w:hAnsi="宋体"/>
                <w:sz w:val="24"/>
              </w:rPr>
            </w:pPr>
            <w:r>
              <w:rPr>
                <w:rFonts w:hint="eastAsia" w:ascii="宋体" w:hAnsi="宋体"/>
                <w:sz w:val="24"/>
              </w:rPr>
              <w:t>/</w:t>
            </w:r>
          </w:p>
        </w:tc>
      </w:tr>
      <w:tr w14:paraId="70978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440" w:type="dxa"/>
            <w:tcBorders>
              <w:top w:val="single" w:color="auto" w:sz="4" w:space="0"/>
              <w:left w:val="single" w:color="auto" w:sz="4" w:space="0"/>
              <w:bottom w:val="single" w:color="auto" w:sz="4" w:space="0"/>
              <w:right w:val="single" w:color="auto" w:sz="4" w:space="0"/>
            </w:tcBorders>
            <w:vAlign w:val="center"/>
          </w:tcPr>
          <w:p w14:paraId="4DF97A2E">
            <w:pPr>
              <w:jc w:val="center"/>
              <w:rPr>
                <w:b/>
                <w:kern w:val="0"/>
                <w:sz w:val="24"/>
              </w:rPr>
            </w:pPr>
            <w:r>
              <w:rPr>
                <w:rFonts w:hint="eastAsia"/>
                <w:b/>
                <w:kern w:val="0"/>
                <w:sz w:val="24"/>
              </w:rPr>
              <w:t>建设项目存在的职业病危害因素及检测结果</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33A0FEAB">
            <w:pPr>
              <w:pStyle w:val="14"/>
              <w:adjustRightInd w:val="0"/>
              <w:snapToGrid w:val="0"/>
              <w:spacing w:line="490" w:lineRule="exact"/>
              <w:ind w:firstLine="480"/>
              <w:rPr>
                <w:rFonts w:ascii="Times New Roman" w:hAnsi="Times New Roman"/>
                <w:bCs/>
                <w:kern w:val="28"/>
                <w:szCs w:val="28"/>
              </w:rPr>
            </w:pPr>
            <w:r>
              <w:rPr>
                <w:rFonts w:hint="eastAsia" w:ascii="宋体" w:hAnsi="宋体" w:eastAsia="宋体"/>
                <w:kern w:val="2"/>
                <w:sz w:val="24"/>
                <w:szCs w:val="24"/>
              </w:rPr>
              <w:t>拟建</w:t>
            </w:r>
            <w:r>
              <w:rPr>
                <w:rFonts w:ascii="宋体" w:hAnsi="宋体" w:eastAsia="宋体"/>
                <w:kern w:val="2"/>
                <w:sz w:val="24"/>
                <w:szCs w:val="24"/>
              </w:rPr>
              <w:t>项目建成后运行过程中可能产生或存在的</w:t>
            </w:r>
            <w:r>
              <w:rPr>
                <w:rFonts w:hint="eastAsia" w:ascii="宋体" w:hAnsi="宋体" w:eastAsia="宋体"/>
                <w:kern w:val="2"/>
                <w:sz w:val="24"/>
                <w:szCs w:val="24"/>
              </w:rPr>
              <w:t>主要</w:t>
            </w:r>
            <w:r>
              <w:rPr>
                <w:rFonts w:ascii="宋体" w:hAnsi="宋体" w:eastAsia="宋体"/>
                <w:kern w:val="2"/>
                <w:sz w:val="24"/>
                <w:szCs w:val="24"/>
              </w:rPr>
              <w:t>职业病危害因素有：</w:t>
            </w:r>
            <w:r>
              <w:rPr>
                <w:rFonts w:hint="eastAsia" w:ascii="宋体" w:hAnsi="宋体" w:eastAsia="宋体"/>
                <w:kern w:val="2"/>
                <w:sz w:val="24"/>
                <w:szCs w:val="24"/>
                <w:lang w:eastAsia="zh-CN"/>
              </w:rPr>
              <w:t>工频电场、噪声、夏季高温</w:t>
            </w:r>
            <w:r>
              <w:rPr>
                <w:rFonts w:hint="eastAsia" w:ascii="宋体" w:hAnsi="宋体" w:eastAsia="宋体"/>
                <w:kern w:val="2"/>
                <w:sz w:val="24"/>
                <w:szCs w:val="24"/>
              </w:rPr>
              <w:t>。</w:t>
            </w:r>
            <w:r>
              <w:rPr>
                <w:rFonts w:ascii="宋体" w:hAnsi="宋体" w:eastAsia="宋体"/>
                <w:kern w:val="2"/>
                <w:sz w:val="24"/>
                <w:szCs w:val="24"/>
              </w:rPr>
              <w:t>根据</w:t>
            </w:r>
            <w:r>
              <w:rPr>
                <w:rFonts w:hint="eastAsia" w:ascii="宋体" w:hAnsi="宋体" w:eastAsia="宋体"/>
                <w:kern w:val="2"/>
                <w:sz w:val="24"/>
                <w:szCs w:val="24"/>
              </w:rPr>
              <w:t>类比</w:t>
            </w:r>
            <w:r>
              <w:rPr>
                <w:rFonts w:ascii="宋体" w:hAnsi="宋体" w:eastAsia="宋体"/>
                <w:kern w:val="2"/>
                <w:sz w:val="24"/>
                <w:szCs w:val="24"/>
              </w:rPr>
              <w:t>分析</w:t>
            </w:r>
            <w:r>
              <w:rPr>
                <w:rFonts w:hint="eastAsia" w:ascii="宋体" w:hAnsi="宋体" w:eastAsia="宋体"/>
                <w:kern w:val="2"/>
                <w:sz w:val="24"/>
                <w:szCs w:val="24"/>
              </w:rPr>
              <w:t>及经验法</w:t>
            </w:r>
            <w:r>
              <w:rPr>
                <w:rFonts w:ascii="宋体" w:hAnsi="宋体" w:eastAsia="宋体"/>
                <w:kern w:val="2"/>
                <w:sz w:val="24"/>
                <w:szCs w:val="24"/>
              </w:rPr>
              <w:t>可知，</w:t>
            </w:r>
            <w:r>
              <w:rPr>
                <w:rFonts w:hint="eastAsia" w:ascii="宋体" w:hAnsi="宋体" w:eastAsia="宋体"/>
                <w:kern w:val="2"/>
                <w:sz w:val="24"/>
                <w:szCs w:val="24"/>
              </w:rPr>
              <w:t>各岗位接触的职业病危害因素危害程度基本可以得到有效控制</w:t>
            </w:r>
            <w:r>
              <w:rPr>
                <w:rFonts w:ascii="宋体" w:hAnsi="宋体" w:eastAsia="宋体"/>
                <w:kern w:val="2"/>
                <w:sz w:val="24"/>
                <w:szCs w:val="24"/>
              </w:rPr>
              <w:t>。</w:t>
            </w:r>
            <w:r>
              <w:rPr>
                <w:rFonts w:hint="eastAsia" w:ascii="宋体" w:hAnsi="宋体" w:eastAsia="宋体"/>
                <w:kern w:val="2"/>
                <w:sz w:val="24"/>
                <w:szCs w:val="24"/>
              </w:rPr>
              <w:t>本项目关</w:t>
            </w:r>
            <w:r>
              <w:rPr>
                <w:rFonts w:ascii="宋体" w:hAnsi="宋体" w:eastAsia="宋体"/>
                <w:kern w:val="2"/>
                <w:sz w:val="24"/>
                <w:szCs w:val="24"/>
              </w:rPr>
              <w:t>键控制点为</w:t>
            </w:r>
            <w:r>
              <w:rPr>
                <w:rFonts w:hint="eastAsia" w:ascii="宋体" w:hAnsi="宋体" w:eastAsia="宋体"/>
                <w:kern w:val="2"/>
                <w:sz w:val="24"/>
                <w:szCs w:val="24"/>
              </w:rPr>
              <w:t>：本项目职业病危害关键控制点为站长</w:t>
            </w:r>
            <w:r>
              <w:rPr>
                <w:rFonts w:hint="eastAsia" w:ascii="宋体" w:hAnsi="宋体" w:eastAsia="宋体"/>
                <w:kern w:val="2"/>
                <w:sz w:val="24"/>
                <w:szCs w:val="24"/>
                <w:lang w:eastAsia="zh-CN"/>
              </w:rPr>
              <w:t>、副站长、运维人员在日常巡检作业时接触夏季高温</w:t>
            </w:r>
            <w:r>
              <w:rPr>
                <w:rFonts w:hint="eastAsia" w:ascii="宋体" w:hAnsi="宋体" w:eastAsia="宋体"/>
                <w:kern w:val="2"/>
                <w:sz w:val="24"/>
                <w:szCs w:val="24"/>
              </w:rPr>
              <w:t>。</w:t>
            </w:r>
          </w:p>
        </w:tc>
      </w:tr>
      <w:tr w14:paraId="472F5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40" w:type="dxa"/>
            <w:tcBorders>
              <w:top w:val="single" w:color="auto" w:sz="4" w:space="0"/>
              <w:left w:val="single" w:color="auto" w:sz="4" w:space="0"/>
              <w:bottom w:val="single" w:color="auto" w:sz="4" w:space="0"/>
              <w:right w:val="single" w:color="auto" w:sz="4" w:space="0"/>
            </w:tcBorders>
            <w:vAlign w:val="center"/>
          </w:tcPr>
          <w:p w14:paraId="39C1960D">
            <w:pPr>
              <w:jc w:val="center"/>
              <w:rPr>
                <w:b/>
                <w:kern w:val="0"/>
                <w:sz w:val="24"/>
              </w:rPr>
            </w:pPr>
            <w:r>
              <w:rPr>
                <w:rFonts w:hint="eastAsia"/>
                <w:b/>
                <w:kern w:val="0"/>
                <w:sz w:val="24"/>
              </w:rPr>
              <w:t>评价结论及建议</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3DFB69F6">
            <w:pPr>
              <w:pStyle w:val="14"/>
              <w:adjustRightInd w:val="0"/>
              <w:snapToGrid w:val="0"/>
              <w:spacing w:line="490" w:lineRule="exact"/>
              <w:ind w:firstLine="480"/>
              <w:rPr>
                <w:rFonts w:hint="eastAsia" w:ascii="宋体" w:hAnsi="宋体" w:eastAsia="宋体"/>
                <w:kern w:val="2"/>
                <w:sz w:val="24"/>
                <w:szCs w:val="24"/>
              </w:rPr>
            </w:pPr>
            <w:r>
              <w:rPr>
                <w:rFonts w:hint="eastAsia" w:ascii="宋体" w:hAnsi="宋体" w:eastAsia="宋体"/>
                <w:kern w:val="2"/>
                <w:sz w:val="24"/>
                <w:szCs w:val="24"/>
              </w:rPr>
              <w:t>本项目属于“D4416太阳能发电”，根据《建设项目职业病危害风险分类管理目录》，综合拟建项目在投入生产或使用后可能产生的主要职业病危害因素及其来源与分布、可能对人体健康产生的影响及导致的职业病等，确定本项目为“职业病危害一般的建设项目”。</w:t>
            </w:r>
          </w:p>
          <w:p w14:paraId="3850987C">
            <w:pPr>
              <w:pStyle w:val="14"/>
              <w:adjustRightInd w:val="0"/>
              <w:snapToGrid w:val="0"/>
              <w:spacing w:line="490" w:lineRule="exact"/>
              <w:ind w:firstLine="480"/>
              <w:rPr>
                <w:rFonts w:ascii="宋体" w:hAnsi="宋体" w:eastAsia="宋体"/>
                <w:kern w:val="2"/>
                <w:sz w:val="24"/>
                <w:szCs w:val="24"/>
              </w:rPr>
            </w:pPr>
            <w:r>
              <w:rPr>
                <w:rFonts w:ascii="宋体" w:hAnsi="宋体" w:eastAsia="宋体"/>
                <w:kern w:val="2"/>
                <w:sz w:val="24"/>
                <w:szCs w:val="24"/>
              </w:rPr>
              <w:t>通过工程分析、类比</w:t>
            </w:r>
            <w:r>
              <w:rPr>
                <w:rFonts w:hint="eastAsia" w:ascii="宋体" w:hAnsi="宋体" w:eastAsia="宋体"/>
                <w:kern w:val="2"/>
                <w:sz w:val="24"/>
                <w:szCs w:val="24"/>
              </w:rPr>
              <w:t>分析</w:t>
            </w:r>
            <w:r>
              <w:rPr>
                <w:rFonts w:ascii="宋体" w:hAnsi="宋体" w:eastAsia="宋体"/>
                <w:kern w:val="2"/>
                <w:sz w:val="24"/>
                <w:szCs w:val="24"/>
              </w:rPr>
              <w:t>及对</w:t>
            </w:r>
            <w:r>
              <w:rPr>
                <w:rFonts w:hint="eastAsia" w:ascii="宋体" w:hAnsi="宋体" w:eastAsia="宋体"/>
                <w:kern w:val="2"/>
                <w:sz w:val="24"/>
                <w:szCs w:val="24"/>
              </w:rPr>
              <w:t>拟建</w:t>
            </w:r>
            <w:r>
              <w:rPr>
                <w:rFonts w:ascii="宋体" w:hAnsi="宋体" w:eastAsia="宋体"/>
                <w:kern w:val="2"/>
                <w:sz w:val="24"/>
                <w:szCs w:val="24"/>
              </w:rPr>
              <w:t>项目职业病危害因素的综合分析与评价，确定</w:t>
            </w:r>
            <w:r>
              <w:rPr>
                <w:rFonts w:hint="eastAsia" w:ascii="宋体" w:hAnsi="宋体" w:eastAsia="宋体"/>
                <w:kern w:val="2"/>
                <w:sz w:val="24"/>
                <w:szCs w:val="24"/>
              </w:rPr>
              <w:t>该</w:t>
            </w:r>
            <w:r>
              <w:rPr>
                <w:rFonts w:ascii="宋体" w:hAnsi="宋体" w:eastAsia="宋体"/>
                <w:kern w:val="2"/>
                <w:sz w:val="24"/>
                <w:szCs w:val="24"/>
              </w:rPr>
              <w:t>拟建项目在采取了本报告所提防护措施后，各主要接触职业病危害作业岗位的职业病危害因素预期浓度（强度）范围和接触水平能满足国家和地方对职业病防治方面法律、法规、标准的要求</w:t>
            </w:r>
            <w:r>
              <w:rPr>
                <w:rFonts w:hint="eastAsia" w:ascii="宋体" w:hAnsi="宋体" w:eastAsia="宋体"/>
                <w:kern w:val="2"/>
                <w:sz w:val="24"/>
                <w:szCs w:val="24"/>
              </w:rPr>
              <w:t>。</w:t>
            </w:r>
          </w:p>
        </w:tc>
      </w:tr>
      <w:tr w14:paraId="6CF1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440" w:type="dxa"/>
            <w:tcBorders>
              <w:top w:val="single" w:color="auto" w:sz="4" w:space="0"/>
              <w:left w:val="single" w:color="auto" w:sz="4" w:space="0"/>
              <w:bottom w:val="single" w:color="auto" w:sz="4" w:space="0"/>
              <w:right w:val="single" w:color="auto" w:sz="4" w:space="0"/>
            </w:tcBorders>
            <w:vAlign w:val="center"/>
          </w:tcPr>
          <w:p w14:paraId="479ED128">
            <w:pPr>
              <w:jc w:val="center"/>
              <w:rPr>
                <w:b/>
                <w:kern w:val="0"/>
                <w:sz w:val="24"/>
              </w:rPr>
            </w:pPr>
            <w:r>
              <w:rPr>
                <w:rFonts w:hint="eastAsia"/>
                <w:b/>
                <w:kern w:val="0"/>
                <w:sz w:val="24"/>
              </w:rPr>
              <w:t>技术审查专家组</w:t>
            </w:r>
          </w:p>
          <w:p w14:paraId="45767338">
            <w:pPr>
              <w:jc w:val="center"/>
              <w:rPr>
                <w:b/>
                <w:kern w:val="0"/>
                <w:sz w:val="24"/>
              </w:rPr>
            </w:pPr>
            <w:r>
              <w:rPr>
                <w:rFonts w:hint="eastAsia"/>
                <w:b/>
                <w:kern w:val="0"/>
                <w:sz w:val="24"/>
              </w:rPr>
              <w:t>评审意见</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29587D12">
            <w:pPr>
              <w:rPr>
                <w:color w:val="000000"/>
                <w:kern w:val="0"/>
                <w:sz w:val="24"/>
              </w:rPr>
            </w:pPr>
            <w:r>
              <w:rPr>
                <w:rFonts w:hint="eastAsia" w:ascii="宋体" w:hAnsi="宋体"/>
                <w:sz w:val="24"/>
              </w:rPr>
              <w:t>对存在问题修改完善后经专家组确认后，建议《评价报告》通过评审。</w:t>
            </w:r>
          </w:p>
        </w:tc>
      </w:tr>
    </w:tbl>
    <w:p w14:paraId="69410790">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yYjYzMGI2MGVhOWNlMjk3YTJhNDgzZWI5M2Y2NDgifQ=="/>
  </w:docVars>
  <w:rsids>
    <w:rsidRoot w:val="003B3E4B"/>
    <w:rsid w:val="000C0C54"/>
    <w:rsid w:val="001B4C6E"/>
    <w:rsid w:val="002137CE"/>
    <w:rsid w:val="00267723"/>
    <w:rsid w:val="002D6359"/>
    <w:rsid w:val="0036720B"/>
    <w:rsid w:val="003B3E4B"/>
    <w:rsid w:val="003C6F2B"/>
    <w:rsid w:val="00481067"/>
    <w:rsid w:val="004B1BB3"/>
    <w:rsid w:val="006324CB"/>
    <w:rsid w:val="00785F19"/>
    <w:rsid w:val="007E0A4D"/>
    <w:rsid w:val="00804B0A"/>
    <w:rsid w:val="008C17E3"/>
    <w:rsid w:val="008E04ED"/>
    <w:rsid w:val="00931E49"/>
    <w:rsid w:val="00A31BE6"/>
    <w:rsid w:val="00D95001"/>
    <w:rsid w:val="00E74D08"/>
    <w:rsid w:val="00F6182C"/>
    <w:rsid w:val="02EF291D"/>
    <w:rsid w:val="07317033"/>
    <w:rsid w:val="07DC3E9A"/>
    <w:rsid w:val="0D9655E6"/>
    <w:rsid w:val="10497F5C"/>
    <w:rsid w:val="209549B2"/>
    <w:rsid w:val="21913761"/>
    <w:rsid w:val="22047891"/>
    <w:rsid w:val="2288631C"/>
    <w:rsid w:val="29135144"/>
    <w:rsid w:val="2A454DC8"/>
    <w:rsid w:val="2C415F37"/>
    <w:rsid w:val="2E103562"/>
    <w:rsid w:val="323308F2"/>
    <w:rsid w:val="4A973AA3"/>
    <w:rsid w:val="4B665A18"/>
    <w:rsid w:val="55AF53C9"/>
    <w:rsid w:val="61F666AD"/>
    <w:rsid w:val="643031FF"/>
    <w:rsid w:val="65641D69"/>
    <w:rsid w:val="67FB094D"/>
    <w:rsid w:val="6D1D15AD"/>
    <w:rsid w:val="6E0E3D6F"/>
    <w:rsid w:val="73FC784B"/>
    <w:rsid w:val="75936216"/>
    <w:rsid w:val="75E33EDA"/>
    <w:rsid w:val="7700476F"/>
    <w:rsid w:val="77881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rPr>
      <w:kern w:val="0"/>
      <w:sz w:val="20"/>
    </w:rPr>
  </w:style>
  <w:style w:type="paragraph" w:styleId="3">
    <w:name w:val="Body Text"/>
    <w:basedOn w:val="1"/>
    <w:qFormat/>
    <w:uiPriority w:val="0"/>
    <w:pPr>
      <w:tabs>
        <w:tab w:val="left" w:pos="4344"/>
      </w:tabs>
      <w:autoSpaceDE w:val="0"/>
      <w:autoSpaceDN w:val="0"/>
      <w:adjustRightInd w:val="0"/>
      <w:spacing w:line="457" w:lineRule="exact"/>
      <w:ind w:firstLine="569" w:firstLineChars="200"/>
      <w:jc w:val="left"/>
    </w:pPr>
    <w:rPr>
      <w:rFonts w:ascii="仿宋_GB2312" w:hAnsi="仿宋_GB2312" w:eastAsia="仿宋_GB2312"/>
      <w:color w:val="000000"/>
      <w:w w:val="102"/>
      <w:kern w:val="0"/>
      <w:sz w:val="28"/>
      <w:szCs w:val="28"/>
      <w:lang w:val="zh-CN"/>
    </w:r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paragraph" w:customStyle="1" w:styleId="10">
    <w:name w:val="样式 宋体 四号 黑色 行距: 1.5 倍行距"/>
    <w:basedOn w:val="1"/>
    <w:qFormat/>
    <w:uiPriority w:val="0"/>
    <w:pPr>
      <w:spacing w:line="360" w:lineRule="auto"/>
      <w:ind w:firstLine="560" w:firstLineChars="200"/>
      <w:jc w:val="left"/>
    </w:pPr>
    <w:rPr>
      <w:rFonts w:ascii="宋体" w:hAnsi="宋体" w:cs="宋体"/>
      <w:sz w:val="28"/>
      <w:szCs w:val="28"/>
    </w:rPr>
  </w:style>
  <w:style w:type="paragraph" w:customStyle="1" w:styleId="11">
    <w:name w:val="ZH正文"/>
    <w:basedOn w:val="1"/>
    <w:qFormat/>
    <w:uiPriority w:val="0"/>
    <w:pPr>
      <w:spacing w:line="360" w:lineRule="auto"/>
      <w:ind w:firstLine="200" w:firstLineChars="200"/>
    </w:pPr>
    <w:rPr>
      <w:sz w:val="24"/>
    </w:rPr>
  </w:style>
  <w:style w:type="character" w:customStyle="1" w:styleId="12">
    <w:name w:val="YYC Char"/>
    <w:basedOn w:val="7"/>
    <w:link w:val="13"/>
    <w:qFormat/>
    <w:uiPriority w:val="0"/>
    <w:rPr>
      <w:rFonts w:ascii="仿宋_GB2312" w:eastAsia="仿宋_GB2312" w:cs="宋体"/>
      <w:color w:val="000000"/>
      <w:sz w:val="28"/>
    </w:rPr>
  </w:style>
  <w:style w:type="paragraph" w:customStyle="1" w:styleId="13">
    <w:name w:val="YYC"/>
    <w:basedOn w:val="1"/>
    <w:link w:val="12"/>
    <w:qFormat/>
    <w:uiPriority w:val="0"/>
    <w:pPr>
      <w:spacing w:line="490" w:lineRule="exact"/>
      <w:ind w:firstLine="560" w:firstLineChars="200"/>
    </w:pPr>
    <w:rPr>
      <w:rFonts w:ascii="仿宋_GB2312" w:eastAsia="仿宋_GB2312" w:cs="宋体" w:hAnsiTheme="minorHAnsi"/>
      <w:color w:val="000000"/>
      <w:sz w:val="28"/>
      <w:szCs w:val="22"/>
    </w:rPr>
  </w:style>
  <w:style w:type="paragraph" w:customStyle="1" w:styleId="14">
    <w:name w:val="报告书正文2"/>
    <w:basedOn w:val="1"/>
    <w:qFormat/>
    <w:uiPriority w:val="0"/>
    <w:pPr>
      <w:spacing w:line="460" w:lineRule="exact"/>
      <w:ind w:firstLine="560" w:firstLineChars="200"/>
    </w:pPr>
    <w:rPr>
      <w:rFonts w:ascii="Calibri" w:hAnsi="Calibri" w:eastAsia="仿宋_GB2312"/>
      <w:kern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1494</Words>
  <Characters>1635</Characters>
  <Lines>6</Lines>
  <Paragraphs>1</Paragraphs>
  <TotalTime>1</TotalTime>
  <ScaleCrop>false</ScaleCrop>
  <LinksUpToDate>false</LinksUpToDate>
  <CharactersWithSpaces>1635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2018-02-05T07:37:00Z</dcterms:created>
  <dc:creator>User</dc:creator>
  <cp:lastModifiedBy>辰辰妈</cp:lastModifiedBy>
  <dcterms:modified xsi:type="dcterms:W3CDTF">2024-09-27T08:05:03Z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9C0ED86CEF8747E2A5FF36422AC90245</vt:lpwstr>
  </property>
</Properties>
</file>