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7CB3E">
      <w:pPr>
        <w:jc w:val="center"/>
        <w:rPr>
          <w:rFonts w:hint="eastAsia" w:cs="Times New Roman"/>
          <w:b/>
          <w:color w:val="000000"/>
          <w:kern w:val="0"/>
          <w:sz w:val="24"/>
          <w:lang w:eastAsia="zh-CN"/>
        </w:rPr>
      </w:pPr>
      <w:r>
        <w:rPr>
          <w:rFonts w:hint="eastAsia" w:cs="Times New Roman"/>
          <w:b/>
          <w:color w:val="000000"/>
          <w:kern w:val="0"/>
          <w:sz w:val="24"/>
          <w:lang w:eastAsia="zh-CN"/>
        </w:rPr>
        <w:t>江西铜业集团铜板带有限公司</w:t>
      </w:r>
    </w:p>
    <w:p w14:paraId="0518F146">
      <w:pPr>
        <w:jc w:val="center"/>
        <w:rPr>
          <w:rFonts w:hint="eastAsia" w:cs="Times New Roman"/>
          <w:b/>
          <w:color w:val="000000"/>
          <w:kern w:val="0"/>
          <w:sz w:val="24"/>
          <w:lang w:eastAsia="zh-CN"/>
        </w:rPr>
      </w:pPr>
      <w:r>
        <w:rPr>
          <w:rFonts w:hint="eastAsia" w:cs="Times New Roman"/>
          <w:b/>
          <w:color w:val="000000"/>
          <w:kern w:val="0"/>
          <w:sz w:val="24"/>
          <w:lang w:eastAsia="zh-CN"/>
        </w:rPr>
        <w:t>南昌高新区新能源用铜带扩建项目</w:t>
      </w:r>
    </w:p>
    <w:p w14:paraId="00A780EC">
      <w:pPr>
        <w:jc w:val="center"/>
        <w:rPr>
          <w:rFonts w:hint="eastAsia" w:ascii="Times New Roman" w:hAnsi="Times New Roman" w:cs="Times New Roman"/>
          <w:b/>
          <w:color w:val="000000"/>
          <w:kern w:val="0"/>
          <w:sz w:val="24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24"/>
        </w:rPr>
        <w:t>职业病危害预评价报告公示</w:t>
      </w:r>
    </w:p>
    <w:tbl>
      <w:tblPr>
        <w:tblStyle w:val="1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235"/>
        <w:gridCol w:w="285"/>
        <w:gridCol w:w="748"/>
        <w:gridCol w:w="217"/>
        <w:gridCol w:w="1838"/>
        <w:gridCol w:w="563"/>
        <w:gridCol w:w="774"/>
        <w:gridCol w:w="133"/>
        <w:gridCol w:w="947"/>
      </w:tblGrid>
      <w:tr w14:paraId="19FD1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4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74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江西铜业集团铜板带有限公司南昌高新区新能源用铜带扩建项目</w:t>
            </w:r>
          </w:p>
        </w:tc>
      </w:tr>
      <w:tr w14:paraId="5B96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8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7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ZPYKJ24-016</w:t>
            </w:r>
          </w:p>
        </w:tc>
      </w:tr>
      <w:tr w14:paraId="4C2E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E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江西铜业集团铜板带有限公司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地理位置</w:t>
            </w: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7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江西省南昌市青山湖区艾溪湖管理处高新大道979号江西铜业集团铜板带有限公司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F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B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陈高峰</w:t>
            </w:r>
          </w:p>
        </w:tc>
      </w:tr>
      <w:tr w14:paraId="583D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0E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 w:val="0"/>
                <w:kern w:val="0"/>
                <w:sz w:val="24"/>
              </w:rPr>
              <w:t>项目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简介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4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江西铜业集团铜板带有限公司成立于2009年04月28日，注册地位于江西省南昌市高新技术产业开发区江铜工业园，法定代表人为张旺。经营范围包括设计、研发、生产、销售各类铜及铜合金板带材；有色金属进料、销售；铜及铜合金边角料收购、加工、利用、销售；提供售后服务，咨询服务；自营和代理与本企业相关的商品和技术涉及的贸易及进出口业务。（依法须经批准的项目，经相关部门批准后方可开展经营活动） 一般项目：有色金属压延加工。（除依法须经批准的项目外，凭营业执照依法自主开展经营活动）。</w:t>
            </w:r>
          </w:p>
          <w:p w14:paraId="4C9C2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公司原有一期年产能2万吨铜板带，采用的是水平连铸生产铜合金板带。2021年挖潜改造产能扩产1万吨铜板带，采用更先进的上引连铸—连续挤压的工艺进行上引连铸生产铜合金板带，在南昌高新技术产业开发区管理委员会进行备案，项目名称：江西铜业集团铜板带有限公司扩产1万吨铜板带项目；统一项目代码：2020-360198-32-03-030741。江西铜业集团铜板带有限公司扩产1万吨铜板带项目已于2022年8月通过职业病防护设施竣工验收。</w:t>
            </w:r>
          </w:p>
          <w:p w14:paraId="27C91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江西铜业集团铜板带有限公司原有总产能为3万吨铜板带，主要产品为黄铜板带、青铜板带、紫铜板。本次扩建拟定在原有年产3万吨铜板带规模上，增加部分生产设施，扩产5000吨铜板带，使总产能达到3.5万吨/年的规模，扩建项目于2024年5月10日在南昌高新技术产业开发区管理委员会备案（项目代码：2404-360198-04-01-154294）。</w:t>
            </w:r>
          </w:p>
        </w:tc>
      </w:tr>
      <w:tr w14:paraId="69E9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35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李海海、熊俊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6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2024年6月14日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5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陈高峰</w:t>
            </w:r>
          </w:p>
        </w:tc>
      </w:tr>
      <w:tr w14:paraId="030E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4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69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B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7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建设单位陪同人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</w:tr>
      <w:tr w14:paraId="40A2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0E10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拟建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项目建成后运行过程中可能产生或存在的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职业病危害因素有：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铜烟、硫酸、氢氧化钠、高温、工频电场、噪声。根据类比法及经验法可知，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各岗位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接触的职业病危害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因素危害程度基本可以得到有效控制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本项目关键控制点为：</w:t>
            </w:r>
          </w:p>
          <w:tbl>
            <w:tblPr>
              <w:tblStyle w:val="13"/>
              <w:tblW w:w="499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26"/>
              <w:gridCol w:w="2682"/>
              <w:gridCol w:w="1671"/>
              <w:gridCol w:w="1832"/>
            </w:tblGrid>
            <w:tr w14:paraId="0B285E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tblHeader/>
                <w:jc w:val="center"/>
              </w:trPr>
              <w:tc>
                <w:tcPr>
                  <w:tcW w:w="883" w:type="pc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E4B87C7">
                  <w:pPr>
                    <w:pStyle w:val="18"/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评价单元</w:t>
                  </w: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10CF1DCD">
                  <w:pPr>
                    <w:pStyle w:val="18"/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关键控制的职业病危害因素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039601A">
                  <w:pPr>
                    <w:pStyle w:val="18"/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关键控制人群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03A9B734">
                  <w:pPr>
                    <w:pStyle w:val="18"/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关键控制点</w:t>
                  </w:r>
                </w:p>
              </w:tc>
            </w:tr>
            <w:tr w14:paraId="3FC8B9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6026A0DB">
                  <w:pPr>
                    <w:pStyle w:val="18"/>
                    <w:bidi w:val="0"/>
                  </w:pPr>
                  <w:r>
                    <w:rPr>
                      <w:rFonts w:hint="eastAsia"/>
                    </w:rPr>
                    <w:t>连铸车间</w:t>
                  </w: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F635D0A">
                  <w:pPr>
                    <w:pStyle w:val="18"/>
                    <w:bidi w:val="0"/>
                  </w:pPr>
                  <w:r>
                    <w:t>高温(WBGT指数)</w:t>
                  </w:r>
                </w:p>
              </w:tc>
              <w:tc>
                <w:tcPr>
                  <w:tcW w:w="1112" w:type="pct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A7D746F">
                  <w:pPr>
                    <w:pStyle w:val="18"/>
                    <w:bidi w:val="0"/>
                  </w:pPr>
                  <w:r>
                    <w:rPr>
                      <w:rFonts w:hint="eastAsia"/>
                    </w:rPr>
                    <w:t>熔铸工</w:t>
                  </w:r>
                </w:p>
              </w:tc>
              <w:tc>
                <w:tcPr>
                  <w:tcW w:w="1219" w:type="pct"/>
                  <w:vMerge w:val="restart"/>
                  <w:noWrap w:val="0"/>
                  <w:vAlign w:val="center"/>
                </w:tcPr>
                <w:p w14:paraId="067F3092">
                  <w:pPr>
                    <w:pStyle w:val="18"/>
                    <w:bidi w:val="0"/>
                  </w:pPr>
                  <w:r>
                    <w:rPr>
                      <w:rFonts w:hint="eastAsia"/>
                    </w:rPr>
                    <w:t>上引炉</w:t>
                  </w:r>
                </w:p>
              </w:tc>
            </w:tr>
            <w:tr w14:paraId="4EFC915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2BE2646D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155487B0">
                  <w:pPr>
                    <w:pStyle w:val="18"/>
                    <w:bidi w:val="0"/>
                  </w:pPr>
                  <w:r>
                    <w:rPr>
                      <w:rFonts w:hint="eastAsia"/>
                    </w:rPr>
                    <w:t>铜烟</w:t>
                  </w:r>
                </w:p>
              </w:tc>
              <w:tc>
                <w:tcPr>
                  <w:tcW w:w="1112" w:type="pct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135D0D8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219" w:type="pct"/>
                  <w:vMerge w:val="continue"/>
                  <w:noWrap w:val="0"/>
                  <w:vAlign w:val="center"/>
                </w:tcPr>
                <w:p w14:paraId="79D3908B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</w:tr>
            <w:tr w14:paraId="438B3D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20B5D518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1C89985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39A943F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连续挤压工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34250EBB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连续挤压机</w:t>
                  </w:r>
                </w:p>
              </w:tc>
            </w:tr>
            <w:tr w14:paraId="5E48DF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8A0118E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冷轧车间</w:t>
                  </w: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3461E74">
                  <w:pPr>
                    <w:pStyle w:val="18"/>
                    <w:bidi w:val="0"/>
                  </w:pPr>
                  <w:r>
                    <w:t>高温(WBGT指数)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E397621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退火工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6F5FFA2B">
                  <w:pPr>
                    <w:pStyle w:val="18"/>
                    <w:bidi w:val="0"/>
                  </w:pPr>
                  <w:r>
                    <w:rPr>
                      <w:rFonts w:hint="eastAsia"/>
                    </w:rPr>
                    <w:t>钟罩式光亮退火炉</w:t>
                  </w:r>
                </w:p>
              </w:tc>
            </w:tr>
            <w:tr w14:paraId="367366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36223456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A6C42D3">
                  <w:pPr>
                    <w:pStyle w:val="18"/>
                    <w:bidi w:val="0"/>
                  </w:pPr>
                  <w:r>
                    <w:t>噪声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4343698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铣面工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02D59DEF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双面铣削机</w:t>
                  </w:r>
                </w:p>
              </w:tc>
            </w:tr>
            <w:tr w14:paraId="5474CD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4ADFD074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F78CA23">
                  <w:pPr>
                    <w:pStyle w:val="18"/>
                    <w:bidi w:val="0"/>
                  </w:pPr>
                  <w:r>
                    <w:t>噪声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9AAE79F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粗中轧工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77FCF0D6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铜带粗中轧机、四辊可逆中精轧机</w:t>
                  </w:r>
                </w:p>
              </w:tc>
            </w:tr>
            <w:tr w14:paraId="270AD7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1D8F87EB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95F9131">
                  <w:pPr>
                    <w:pStyle w:val="18"/>
                    <w:bidi w:val="0"/>
                  </w:pPr>
                  <w:r>
                    <w:t>噪声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89CDCBD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精轧工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4BEF3595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精轧机</w:t>
                  </w:r>
                </w:p>
              </w:tc>
            </w:tr>
            <w:tr w14:paraId="6A5915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3E4BA984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00B9F0D">
                  <w:pPr>
                    <w:pStyle w:val="18"/>
                    <w:bidi w:val="0"/>
                  </w:pPr>
                  <w:r>
                    <w:t>硫酸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7EC8144C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表面清洗工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75DA5F83">
                  <w:pPr>
                    <w:pStyle w:val="18"/>
                    <w:bidi w:val="0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酸洗操作位</w:t>
                  </w:r>
                </w:p>
              </w:tc>
            </w:tr>
            <w:tr w14:paraId="606F01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2DD2729A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703FA0BA">
                  <w:pPr>
                    <w:pStyle w:val="18"/>
                    <w:bidi w:val="0"/>
                  </w:pPr>
                  <w:r>
                    <w:rPr>
                      <w:rFonts w:hint="eastAsia"/>
                    </w:rPr>
                    <w:t>噪声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520FEC96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拉弯矫直工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0ECA4C1D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拉弯矫直机</w:t>
                  </w:r>
                </w:p>
              </w:tc>
            </w:tr>
            <w:tr w14:paraId="0992E8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9" w:hRule="atLeast"/>
                <w:jc w:val="center"/>
              </w:trPr>
              <w:tc>
                <w:tcPr>
                  <w:tcW w:w="883" w:type="pct"/>
                  <w:vMerge w:val="continue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743E2EEA">
                  <w:pPr>
                    <w:pStyle w:val="18"/>
                    <w:bidi w:val="0"/>
                    <w:rPr>
                      <w:rFonts w:hint="eastAsia"/>
                    </w:rPr>
                  </w:pPr>
                </w:p>
              </w:tc>
              <w:tc>
                <w:tcPr>
                  <w:tcW w:w="1785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7B30B38">
                  <w:pPr>
                    <w:pStyle w:val="18"/>
                    <w:bidi w:val="0"/>
                  </w:pPr>
                  <w:r>
                    <w:t>噪声</w:t>
                  </w:r>
                </w:p>
              </w:tc>
              <w:tc>
                <w:tcPr>
                  <w:tcW w:w="1112" w:type="pc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36EF585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剪切工</w:t>
                  </w:r>
                </w:p>
              </w:tc>
              <w:tc>
                <w:tcPr>
                  <w:tcW w:w="1219" w:type="pct"/>
                  <w:noWrap w:val="0"/>
                  <w:vAlign w:val="center"/>
                </w:tcPr>
                <w:p w14:paraId="262A09BC"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剪切机</w:t>
                  </w:r>
                </w:p>
              </w:tc>
            </w:tr>
          </w:tbl>
          <w:p w14:paraId="2F60148A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</w:tc>
      </w:tr>
      <w:tr w14:paraId="64D85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A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D870F">
            <w:pPr>
              <w:pStyle w:val="2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该拟建项目属于“C324有色金属合金制造、C325有色金属压延加工”，属“职业病危害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严重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”的项目。通过工程分析、经验分析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、类比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分析及对拟建项目职业病危害因素的综合分析与评价，确定该拟建项目在采取了本报告所提防护措施后，各主要接触职业病危害作业岗位的职业病危害因素预期浓度（强度）范围和接触水平能满足国家和地方对职业病防治方面法律、法规、标准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  <w:t>的要求。</w:t>
            </w:r>
          </w:p>
        </w:tc>
      </w:tr>
      <w:tr w14:paraId="6F81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32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5BC75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7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F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对存在问题修改完善后经专家组确认后，建议《评价报告》通过评审。</w:t>
            </w:r>
          </w:p>
        </w:tc>
      </w:tr>
    </w:tbl>
    <w:p w14:paraId="7CD282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NTc3MDU2ZTU2NzU5MTZjZmM0MjVhOTdjMDE5NjYifQ=="/>
  </w:docVars>
  <w:rsids>
    <w:rsidRoot w:val="003B3E4B"/>
    <w:rsid w:val="000C0C54"/>
    <w:rsid w:val="001B4C6E"/>
    <w:rsid w:val="002137CE"/>
    <w:rsid w:val="00267723"/>
    <w:rsid w:val="002D6359"/>
    <w:rsid w:val="0036720B"/>
    <w:rsid w:val="003B3E4B"/>
    <w:rsid w:val="003C6F2B"/>
    <w:rsid w:val="00481067"/>
    <w:rsid w:val="004B1BB3"/>
    <w:rsid w:val="00595F9A"/>
    <w:rsid w:val="006324CB"/>
    <w:rsid w:val="00785F19"/>
    <w:rsid w:val="007E0A4D"/>
    <w:rsid w:val="00804B0A"/>
    <w:rsid w:val="008C17E3"/>
    <w:rsid w:val="008E04ED"/>
    <w:rsid w:val="00931E49"/>
    <w:rsid w:val="00A31BE6"/>
    <w:rsid w:val="00D95001"/>
    <w:rsid w:val="00E74D08"/>
    <w:rsid w:val="00F6182C"/>
    <w:rsid w:val="0138129F"/>
    <w:rsid w:val="02D06E54"/>
    <w:rsid w:val="07317033"/>
    <w:rsid w:val="07DC3E9A"/>
    <w:rsid w:val="10497F5C"/>
    <w:rsid w:val="10B5330B"/>
    <w:rsid w:val="1BBC66D3"/>
    <w:rsid w:val="1DEC5DD0"/>
    <w:rsid w:val="209549B2"/>
    <w:rsid w:val="21B73DAB"/>
    <w:rsid w:val="22047891"/>
    <w:rsid w:val="2288631C"/>
    <w:rsid w:val="24622EE3"/>
    <w:rsid w:val="29135144"/>
    <w:rsid w:val="2C415F37"/>
    <w:rsid w:val="2DF171A1"/>
    <w:rsid w:val="2E103562"/>
    <w:rsid w:val="2EA030FE"/>
    <w:rsid w:val="300D20E3"/>
    <w:rsid w:val="36E1667E"/>
    <w:rsid w:val="38F831EA"/>
    <w:rsid w:val="39FD0BBC"/>
    <w:rsid w:val="3BE12872"/>
    <w:rsid w:val="3C7278A4"/>
    <w:rsid w:val="4A973AA3"/>
    <w:rsid w:val="4B665A18"/>
    <w:rsid w:val="4C565741"/>
    <w:rsid w:val="4C943432"/>
    <w:rsid w:val="4EDE6FDC"/>
    <w:rsid w:val="5517144A"/>
    <w:rsid w:val="55AF53C9"/>
    <w:rsid w:val="59E357BF"/>
    <w:rsid w:val="61F666AD"/>
    <w:rsid w:val="643031FF"/>
    <w:rsid w:val="65641D69"/>
    <w:rsid w:val="6D1D15AD"/>
    <w:rsid w:val="73FC784B"/>
    <w:rsid w:val="75936216"/>
    <w:rsid w:val="75E33EDA"/>
    <w:rsid w:val="7700476F"/>
    <w:rsid w:val="7788146B"/>
    <w:rsid w:val="783B67AC"/>
    <w:rsid w:val="79A81354"/>
    <w:rsid w:val="7AE52B8D"/>
    <w:rsid w:val="7B7B4FA4"/>
    <w:rsid w:val="7CB12249"/>
    <w:rsid w:val="7CF11A09"/>
    <w:rsid w:val="7EFC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490" w:lineRule="exact"/>
    </w:pPr>
    <w:rPr>
      <w:rFonts w:hint="eastAsia" w:ascii="Times New Roman" w:hAnsi="Times New Roman" w:eastAsia="仿宋_GB2312" w:cs="Times New Roman"/>
      <w:color w:val="000000"/>
      <w:sz w:val="28"/>
      <w:szCs w:val="22"/>
    </w:rPr>
  </w:style>
  <w:style w:type="paragraph" w:customStyle="1" w:styleId="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Body Text First Indent 2"/>
    <w:basedOn w:val="5"/>
    <w:next w:val="6"/>
    <w:qFormat/>
    <w:uiPriority w:val="0"/>
    <w:pPr>
      <w:spacing w:after="120" w:line="240" w:lineRule="auto"/>
      <w:ind w:left="420" w:leftChars="200" w:firstLine="420"/>
      <w:textAlignment w:val="auto"/>
    </w:pPr>
    <w:rPr>
      <w:rFonts w:eastAsia="宋体"/>
      <w:sz w:val="21"/>
    </w:rPr>
  </w:style>
  <w:style w:type="paragraph" w:styleId="5">
    <w:name w:val="Body Text Indent"/>
    <w:basedOn w:val="1"/>
    <w:qFormat/>
    <w:uiPriority w:val="0"/>
    <w:pPr>
      <w:ind w:firstLine="539"/>
    </w:pPr>
    <w:rPr>
      <w:rFonts w:ascii="华文中宋" w:hAnsi="华文中宋" w:eastAsia="华文中宋"/>
      <w:sz w:val="28"/>
    </w:rPr>
  </w:style>
  <w:style w:type="paragraph" w:styleId="6">
    <w:name w:val="Body Text First Indent"/>
    <w:basedOn w:val="7"/>
    <w:qFormat/>
    <w:uiPriority w:val="0"/>
    <w:pPr>
      <w:tabs>
        <w:tab w:val="left" w:pos="4344"/>
      </w:tabs>
      <w:ind w:firstLine="100" w:firstLineChars="100"/>
    </w:pPr>
  </w:style>
  <w:style w:type="paragraph" w:styleId="7">
    <w:name w:val="Body Text"/>
    <w:basedOn w:val="1"/>
    <w:next w:val="1"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8">
    <w:name w:val="annotation text"/>
    <w:basedOn w:val="1"/>
    <w:autoRedefine/>
    <w:qFormat/>
    <w:uiPriority w:val="0"/>
    <w:pPr>
      <w:jc w:val="left"/>
    </w:pPr>
    <w:rPr>
      <w:kern w:val="0"/>
      <w:sz w:val="20"/>
    </w:rPr>
  </w:style>
  <w:style w:type="paragraph" w:styleId="9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0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表格内容国标仿宋5号"/>
    <w:next w:val="1"/>
    <w:qFormat/>
    <w:uiPriority w:val="0"/>
    <w:pPr>
      <w:wordWrap w:val="0"/>
      <w:overflowPunct w:val="0"/>
      <w:spacing w:line="280" w:lineRule="exact"/>
      <w:jc w:val="center"/>
    </w:pPr>
    <w:rPr>
      <w:rFonts w:ascii="Times New Roman" w:hAnsi="Times New Roman" w:eastAsia="仿宋_GB2312" w:cs="Times New Roman"/>
      <w:sz w:val="21"/>
      <w:szCs w:val="21"/>
      <w:lang w:val="en-US" w:eastAsia="zh-CN" w:bidi="ar-SA"/>
    </w:rPr>
  </w:style>
  <w:style w:type="paragraph" w:customStyle="1" w:styleId="17">
    <w:name w:val="表格内容国标仿宋五号"/>
    <w:next w:val="1"/>
    <w:qFormat/>
    <w:uiPriority w:val="0"/>
    <w:pPr>
      <w:wordWrap w:val="0"/>
      <w:overflowPunct w:val="0"/>
      <w:spacing w:line="280" w:lineRule="exact"/>
      <w:jc w:val="center"/>
    </w:pPr>
    <w:rPr>
      <w:rFonts w:ascii="Times New Roman" w:hAnsi="Times New Roman" w:eastAsia="仿宋_GB2312" w:cs="Times New Roman"/>
      <w:sz w:val="21"/>
      <w:szCs w:val="21"/>
      <w:lang w:val="en-US" w:eastAsia="zh-CN" w:bidi="ar-SA"/>
    </w:rPr>
  </w:style>
  <w:style w:type="paragraph" w:customStyle="1" w:styleId="18">
    <w:name w:val="表格内容仿宋五号李"/>
    <w:basedOn w:val="1"/>
    <w:next w:val="1"/>
    <w:qFormat/>
    <w:uiPriority w:val="0"/>
    <w:pPr>
      <w:spacing w:line="280" w:lineRule="exact"/>
      <w:jc w:val="center"/>
    </w:pPr>
    <w:rPr>
      <w:rFonts w:ascii="Times New Roman" w:hAnsi="Times New Roman" w:cstheme="minorBidi"/>
      <w:kern w:val="2"/>
      <w:sz w:val="21"/>
      <w:szCs w:val="24"/>
    </w:rPr>
  </w:style>
  <w:style w:type="paragraph" w:customStyle="1" w:styleId="19">
    <w:name w:val="正文空2李"/>
    <w:basedOn w:val="1"/>
    <w:next w:val="1"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  <w:style w:type="character" w:customStyle="1" w:styleId="20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10"/>
    <w:semiHidden/>
    <w:qFormat/>
    <w:uiPriority w:val="99"/>
    <w:rPr>
      <w:sz w:val="18"/>
      <w:szCs w:val="18"/>
    </w:rPr>
  </w:style>
  <w:style w:type="paragraph" w:customStyle="1" w:styleId="22">
    <w:name w:val="样式 宋体 四号 黑色 行距: 1.5 倍行距"/>
    <w:basedOn w:val="1"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23">
    <w:name w:val="ZH正文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24">
    <w:name w:val="YYC Char"/>
    <w:basedOn w:val="15"/>
    <w:link w:val="25"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25">
    <w:name w:val="YYC"/>
    <w:basedOn w:val="1"/>
    <w:link w:val="24"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26">
    <w:name w:val="报告书正文2"/>
    <w:basedOn w:val="1"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1257</Words>
  <Characters>1349</Characters>
  <Lines>6</Lines>
  <Paragraphs>1</Paragraphs>
  <TotalTime>0</TotalTime>
  <ScaleCrop>false</ScaleCrop>
  <LinksUpToDate>false</LinksUpToDate>
  <CharactersWithSpaces>1349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浅忆︿梦微凉</cp:lastModifiedBy>
  <dcterms:modified xsi:type="dcterms:W3CDTF">2024-07-29T01:15:33Z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85A911D117684D5087E3BF7A786EAEBC</vt:lpwstr>
  </property>
</Properties>
</file>